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60</w:t>
      </w:r>
    </w:p>
    <w:p>
      <w:r>
        <w:t>Bundesgericht (BGE), 1983-04-08, IT</w:t>
      </w:r>
    </w:p>
    <w:p>
      <w:r>
        <w:rPr>
          <w:b/>
        </w:rPr>
        <w:t xml:space="preserve">Quelle: </w:t>
      </w:r>
      <w:r>
        <w:t>https://mcp.opencaselaw.ch/entscheid/bge_109 IV 60</w:t>
      </w:r>
    </w:p>
    <w:p>
      <w:r>
        <w:t>FR: ATF 109 IV 60</w:t>
      </w:r>
    </w:p>
    <w:p>
      <w:r>
        <w:t>IT: DTF 109 IV 60</w:t>
      </w:r>
    </w:p>
    <w:p>
      <w:pPr>
        <w:pStyle w:val="Heading2"/>
      </w:pPr>
      <w:r>
        <w:t>Regeste</w:t>
      </w:r>
    </w:p>
    <w:p>
      <w:r>
        <w:t>Regeste 1. Art. 48 Abs. 2 und 50 Abs. 3 IRSG; Auslieferungshaft; Beschwerde. Die Beschwerde an die Anklagekammer des Bundesgerichts kann nicht nur gegen den Haftbefehl, sondern auch gegen jede die Aufhebung der Auslieferungshaft ablehnende Verfügung erhoben werden (E. 1). 2. Art. 6 Abs. 2 des Vertrages zwischen der Schweiz und Belgien über gegenseitige Auslieferung von Verbrechern vom 13. Mai 1874. Mitteilung der dem Auslieferungsersuchen zugrunde liegenden Aktenstücke an den Verfolgten. Für die in dieser Bestimmung vorgesehene Mitteilung, ohne welche die provisorische Verhaftung nach Ablauf von drei Wochen aufhören soll, können grundsätzlich auch Fotokopien verwendet werden (E. 2).</w:t>
      </w:r>
    </w:p>
    <w:p>
      <w:pPr>
        <w:pStyle w:val="Heading2"/>
      </w:pPr>
      <w:r>
        <w:t>Erwägungen</w:t>
      </w:r>
    </w:p>
    <w:p>
      <w:r>
        <w:rPr>
          <w:b/>
        </w:rPr>
        <w:t>E. 1</w:t>
      </w:r>
    </w:p>
    <w:p>
      <w:r>
        <w:t>Dato che contro l'ordine di arresto in vista d'estradizione è ammissibile il reclamo alla Camera d'accusa del Tribunale federale (art. 48 cpv. 2 della legge federale sull'assistenza internazionale in materia penale, del 20 marzo 1981, in vigore dal 1o gennaio 1983, AIMP) e che la persona perseguita può chiedere in ogni tempo d'essere scarcerata (art. 50 cpv. 3 AIMP), il reclamo alla Camera d'accusa deve essere ammissibile anche contro ogni decisione che neghi la scarcerazione; tale decisione non è infatti altro che una conferma dell'ordine di arresto originariamente emanato. Detta ammissibilità è d'altronde espressamente ribadita nel messaggio del Consiglio federale dell'8 marzo 1976 concernente l'AIMP (FF 1976 II 463).</w:t>
      </w:r>
    </w:p>
    <w:p>
      <w:r>
        <w:rPr>
          <w:b/>
        </w:rPr>
        <w:t>E. 2</w:t>
      </w:r>
    </w:p>
    <w:p>
      <w:r>
        <w:t>Il reclamante si duole che gli siano stati sottoposti, il 23 febbraio 1983, anziché i documenti in originale o in copia ufficialmente autenticata, su cui si fonda la domanda d'estradizione, solo fotocopie malfatte e affrancate in modo errato, in violazione di quanto prescritto dall'art. 6 cpv. 2 del Trattato tra la Svizzera e il Belgio per la reciproca estradizione dei delinquenti, del 13 maggio 1874 (RS 0.353.917.2). Egli assume che non gli è stata comunicata la documentazione originale pervenuta all'Istruzione giudiziaria sottocenerina il 28 febbraio 1983. Ne discende che, a suo avviso, l'arresto a fini estradizionali doveva cessare, ai sensi dell'art. 6 cpv. 2 del menzionato Trattato, tre settimane dopo che era stato effettuato. Come risulta dall'art. 47 cpv. 1 AIMP, l'Ufficio federale di polizia può prescindere dall'arresto - e di conseguenza anche dalla prosecuzione della carcerazione a fini estradizionali - non solo per i motivi specificati nelle lettere a e b di detto articolo, bensì BGE 109 IV 60 S. 62 anche per altri. È quindi consentito al reclamante di addurre nel proprio reclamo contro la decisione con cui è stata respinta la sua istanza di scarcerazione un motivo fondato sul Trattato di estradizione concluso tra la Svizzera e il Belgio. Secondo l'art. 6 cpv. 2 della citata convenzione, l'arresto provvisorio deve cessare d'aver seguito quando entro tre settimane, contando dal momento in cui sia stato effettuato, l'incolpato non abbia ricevuto comunicazione di uno dei documenti menzionati nell'articolo 5 del Trattato. L'art. 6 cpv. 2 del Trattato non dice in quale forma debba avvenire tale comunicazione; in particolare, non vi si esige che essa abbia luogo mediante l'esibizione dei documenti in originale o in copia autenticata. Se appare ovvio che per l'esame della domanda d'estradizione i documenti su cui la stessa si basa debbano essere prodotti in originale o in copia ufficialmente autenticata (art. 5 cpv. 1 del Trattato), tale requisito formale non vale necessariamente per quanto concerne la loro comunicazione all'arrestato. Il riferimento fatto dall'art. 6 cpv. 2 del Trattato ai documenti menzionati nell'art. 5 del medesimo non può quindi giovare alla tesi sostenuta dal reclamante. Il testo e il senso dell'art. 6 cpv. 2 del Trattato inducono, al contrario, a ritenere che il precetto stabilito in questa norma è adempiuto mediante la comunicazione all'arrestato del contenuto dei documenti su cui si basa la domanda d'estradizione. La comunicazione può pertanto avvenire senz'altro mediante l'esibizione di fotocopie, sempreché debba presumersi che esse corrispondano agli originali; tale conformità non è peraltro contestata dal reclamante. Le fotocopie litigiose sono state esaminate dalla Camera d'accusa; è risultato che le censure del reclamante circa il loro ordine e la loro qualità sono infondate. Poiché il reclamante ha potuto prendere conoscenza, mediante l'esibizione delle relative fotocopie, dei documenti a cui si riferisce la domanda d'estradizione, in modo conforme a quanto richiesto dall'art. 6 cpv. 2 del Trattato, è irrilevante sapere se l'arrivo degli originali presso l'Istruzione giudiziaria gli sia stato comunicato e se ne abbia potuto prendere visione.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